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9D0" w:rsidRDefault="004909D0" w:rsidP="00C55D03">
      <w:pPr>
        <w:spacing w:line="600" w:lineRule="exact"/>
        <w:jc w:val="center"/>
        <w:rPr>
          <w:rFonts w:ascii="微软雅黑" w:eastAsia="微软雅黑" w:hAnsi="微软雅黑" w:cs="宋体"/>
          <w:b/>
          <w:bCs/>
          <w:color w:val="7030A0"/>
          <w:sz w:val="40"/>
          <w:szCs w:val="40"/>
        </w:rPr>
      </w:pPr>
      <w:r w:rsidRPr="00C55D03">
        <w:rPr>
          <w:rFonts w:ascii="微软雅黑" w:eastAsia="微软雅黑" w:hAnsi="微软雅黑" w:cs="宋体"/>
          <w:b/>
          <w:bCs/>
          <w:color w:val="7030A0"/>
          <w:sz w:val="40"/>
          <w:szCs w:val="40"/>
        </w:rPr>
        <w:t>最高人民法院、最高人民检察院</w:t>
      </w:r>
    </w:p>
    <w:p w:rsidR="00C55D03" w:rsidRPr="00C55D03" w:rsidRDefault="00C55D03" w:rsidP="00C55D03">
      <w:pPr>
        <w:spacing w:line="600" w:lineRule="exact"/>
        <w:jc w:val="center"/>
        <w:rPr>
          <w:rFonts w:ascii="微软雅黑" w:eastAsia="微软雅黑" w:hAnsi="微软雅黑" w:cs="宋体"/>
          <w:color w:val="7030A0"/>
          <w:sz w:val="40"/>
          <w:szCs w:val="40"/>
        </w:rPr>
      </w:pPr>
      <w:r w:rsidRPr="00C55D03">
        <w:rPr>
          <w:rFonts w:ascii="微软雅黑" w:eastAsia="微软雅黑" w:hAnsi="微软雅黑" w:cs="宋体"/>
          <w:b/>
          <w:bCs/>
          <w:color w:val="7030A0"/>
          <w:sz w:val="40"/>
          <w:szCs w:val="40"/>
        </w:rPr>
        <w:t>关于办理窝藏、包庇刑事案件适用法律若干问题的解释</w:t>
      </w:r>
    </w:p>
    <w:p w:rsidR="00C55D03" w:rsidRDefault="00C55D03" w:rsidP="004909D0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 xml:space="preserve">    </w:t>
      </w:r>
    </w:p>
    <w:p w:rsidR="00C55D03" w:rsidRDefault="00C55D03" w:rsidP="004909D0">
      <w:pPr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2021-08-11</w:t>
      </w:r>
      <w:bookmarkStart w:id="0" w:name="_GoBack"/>
      <w:bookmarkEnd w:id="0"/>
    </w:p>
    <w:p w:rsidR="00C55D03" w:rsidRDefault="00C55D03" w:rsidP="004909D0">
      <w:pPr>
        <w:spacing w:line="240" w:lineRule="exact"/>
        <w:rPr>
          <w:rFonts w:ascii="微软雅黑" w:eastAsia="微软雅黑" w:hAnsi="微软雅黑" w:cs="宋体" w:hint="eastAsia"/>
          <w:sz w:val="22"/>
          <w:szCs w:val="22"/>
        </w:rPr>
      </w:pPr>
    </w:p>
    <w:p w:rsidR="00C55D03" w:rsidRPr="00C55D03" w:rsidRDefault="00C55D03" w:rsidP="004909D0">
      <w:pPr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法释〔2021〕16号</w:t>
      </w:r>
    </w:p>
    <w:p w:rsidR="00C55D03" w:rsidRPr="00C55D03" w:rsidRDefault="00C55D03" w:rsidP="004909D0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为依法惩治窝藏、包庇犯罪，根据《中华人民共和国刑法》《中华人民共和国刑事诉讼法》的有关规定，结合司法工作实际，现就办理窝藏、包庇刑事案件适用法律的若干问题解释如下：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 </w:t>
      </w:r>
      <w:r w:rsidRPr="00C55D03">
        <w:rPr>
          <w:rFonts w:ascii="微软雅黑" w:eastAsia="微软雅黑" w:hAnsi="微软雅黑" w:cs="宋体"/>
          <w:b/>
          <w:bCs/>
          <w:sz w:val="22"/>
          <w:szCs w:val="22"/>
        </w:rPr>
        <w:t>第一条</w:t>
      </w:r>
      <w:r w:rsidRPr="00C55D03">
        <w:rPr>
          <w:rFonts w:ascii="微软雅黑" w:eastAsia="微软雅黑" w:hAnsi="微软雅黑" w:cs="宋体"/>
          <w:sz w:val="22"/>
          <w:szCs w:val="22"/>
        </w:rPr>
        <w:t xml:space="preserve">　明知是犯罪的人，为帮助其逃匿，实施下列行为之一的，应当依照刑法第三百一十条第一款的规定，以窝藏罪定罪处罚：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（一）为犯罪的人提供房屋或者其他可以用于隐藏的处所的；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（二）为犯罪的人提供车辆、船只、航空器等交通工具，或者提供手机等通讯工具的；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（三）为犯罪的人提供金钱的；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（四）其他为犯罪的人提供隐藏处所、财物，帮助其逃匿的情形。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保证人在犯罪的人取保候审期间，协助其逃匿，或者明知犯罪的人的藏匿地点、联系方式，但拒绝向司法机关提供的，应当依照刑法第三百一十条第一款的规定，对保证人以窝藏罪定罪处罚。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虽然为犯罪的人提供隐藏处所、财物，但不是出于帮助犯罪的人逃匿的目的，不以窝藏罪定罪处罚；对未履行法定报告义务的行为人，依法移送有关主管机关给予行政处罚。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 </w:t>
      </w:r>
      <w:r w:rsidRPr="00C55D03">
        <w:rPr>
          <w:rFonts w:ascii="微软雅黑" w:eastAsia="微软雅黑" w:hAnsi="微软雅黑" w:cs="宋体"/>
          <w:b/>
          <w:bCs/>
          <w:sz w:val="22"/>
          <w:szCs w:val="22"/>
        </w:rPr>
        <w:t>第二条</w:t>
      </w:r>
      <w:r w:rsidRPr="00C55D03">
        <w:rPr>
          <w:rFonts w:ascii="微软雅黑" w:eastAsia="微软雅黑" w:hAnsi="微软雅黑" w:cs="宋体"/>
          <w:sz w:val="22"/>
          <w:szCs w:val="22"/>
        </w:rPr>
        <w:t xml:space="preserve">　明知是犯罪的人，为帮助其逃避刑事追究，或者帮助其获得从宽处罚，实施下列行为之一的，应当依照刑法第三百一十条第一款的规定，以包庇罪定罪处罚：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（一）故意顶替犯罪的人欺骗司法机关的；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（二）故意向司法机关作虚假陈述或者提供虚假证明，以证明犯罪的人没有实施犯罪行为，或者犯罪的人所实施行为不构成犯罪的；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（三）故意向司法机关提供虚假证明，以证明犯罪的人具有法定从轻、减轻、免除处罚情节的；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（四）其他作假证明包庇的行为。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 </w:t>
      </w:r>
      <w:r w:rsidRPr="00C55D03">
        <w:rPr>
          <w:rFonts w:ascii="微软雅黑" w:eastAsia="微软雅黑" w:hAnsi="微软雅黑" w:cs="宋体"/>
          <w:b/>
          <w:bCs/>
          <w:sz w:val="22"/>
          <w:szCs w:val="22"/>
        </w:rPr>
        <w:t>第三条</w:t>
      </w:r>
      <w:r w:rsidRPr="00C55D03">
        <w:rPr>
          <w:rFonts w:ascii="微软雅黑" w:eastAsia="微软雅黑" w:hAnsi="微软雅黑" w:cs="宋体"/>
          <w:sz w:val="22"/>
          <w:szCs w:val="22"/>
        </w:rPr>
        <w:t xml:space="preserve">　明知他人有间谍犯罪或者恐怖主义、极端主义犯罪行为，在司法机关向其调查有关情况、收集有关证据时，拒绝提供，情节严重的，依照刑法第三百一十一条的规定，以拒绝提供间谍犯罪、恐怖主义犯罪、极端主义犯罪证据罪定罪处罚；作假证明包庇的，依照刑法第三百一十条的规定，以包庇罪从重处罚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 </w:t>
      </w:r>
      <w:r w:rsidRPr="00C55D03">
        <w:rPr>
          <w:rFonts w:ascii="微软雅黑" w:eastAsia="微软雅黑" w:hAnsi="微软雅黑" w:cs="宋体"/>
          <w:b/>
          <w:bCs/>
          <w:sz w:val="22"/>
          <w:szCs w:val="22"/>
        </w:rPr>
        <w:t>第四条</w:t>
      </w:r>
      <w:r w:rsidRPr="00C55D03">
        <w:rPr>
          <w:rFonts w:ascii="微软雅黑" w:eastAsia="微软雅黑" w:hAnsi="微软雅黑" w:cs="宋体"/>
          <w:sz w:val="22"/>
          <w:szCs w:val="22"/>
        </w:rPr>
        <w:t xml:space="preserve">　窝藏、包庇犯罪的人，具有下列情形之一的，应当认定为刑法第三百一十条第一款规定的“情节严重”：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（一）被窝藏、包庇的人可能被判处无期徒刑以上刑罚的；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（二）被窝藏、包庇的人犯危害国家安全犯罪、恐怖主义或者极端主义犯罪，或者系黑社会性质组织犯罪的组织者、领导者，且可能被判处十年有期徒刑以上刑罚的；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（三）被窝藏、包庇的人</w:t>
      </w:r>
      <w:proofErr w:type="gramStart"/>
      <w:r w:rsidRPr="00C55D03">
        <w:rPr>
          <w:rFonts w:ascii="微软雅黑" w:eastAsia="微软雅黑" w:hAnsi="微软雅黑" w:cs="宋体"/>
          <w:sz w:val="22"/>
          <w:szCs w:val="22"/>
        </w:rPr>
        <w:t>系犯罪</w:t>
      </w:r>
      <w:proofErr w:type="gramEnd"/>
      <w:r w:rsidRPr="00C55D03">
        <w:rPr>
          <w:rFonts w:ascii="微软雅黑" w:eastAsia="微软雅黑" w:hAnsi="微软雅黑" w:cs="宋体"/>
          <w:sz w:val="22"/>
          <w:szCs w:val="22"/>
        </w:rPr>
        <w:t>集团的首要分子，且可能被判处十年有期徒刑以上刑罚的；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（四）被窝藏、包庇的人在被窝藏、包庇期间再次实施故意犯罪，且新</w:t>
      </w:r>
      <w:proofErr w:type="gramStart"/>
      <w:r w:rsidRPr="00C55D03">
        <w:rPr>
          <w:rFonts w:ascii="微软雅黑" w:eastAsia="微软雅黑" w:hAnsi="微软雅黑" w:cs="宋体"/>
          <w:sz w:val="22"/>
          <w:szCs w:val="22"/>
        </w:rPr>
        <w:t>罪可能</w:t>
      </w:r>
      <w:proofErr w:type="gramEnd"/>
      <w:r w:rsidRPr="00C55D03">
        <w:rPr>
          <w:rFonts w:ascii="微软雅黑" w:eastAsia="微软雅黑" w:hAnsi="微软雅黑" w:cs="宋体"/>
          <w:sz w:val="22"/>
          <w:szCs w:val="22"/>
        </w:rPr>
        <w:t>被判处五年有期徒刑以上刑罚的；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（五）多次窝藏、包庇犯罪的人，或者窝藏、包庇多名犯罪的人的；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（六）其他情节严重的情形。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前款所称“可能被判处”刑罚，是指根据被窝藏、包庇的人所犯罪行，在不考虑自首、立功、认罪认罚等从宽处罚情节时应当依法判处的刑罚。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 </w:t>
      </w:r>
      <w:r w:rsidRPr="00C55D03">
        <w:rPr>
          <w:rFonts w:ascii="微软雅黑" w:eastAsia="微软雅黑" w:hAnsi="微软雅黑" w:cs="宋体"/>
          <w:b/>
          <w:bCs/>
          <w:sz w:val="22"/>
          <w:szCs w:val="22"/>
        </w:rPr>
        <w:t>第五条</w:t>
      </w:r>
      <w:r w:rsidRPr="00C55D03">
        <w:rPr>
          <w:rFonts w:ascii="微软雅黑" w:eastAsia="微软雅黑" w:hAnsi="微软雅黑" w:cs="宋体"/>
          <w:sz w:val="22"/>
          <w:szCs w:val="22"/>
        </w:rPr>
        <w:t xml:space="preserve">　认定刑法第三百一十条第一款规定的“明知”，应当根据案件的客观事实，结合行为人的认知能力，接触被窝藏、包庇的犯罪人的情况，以及行为人和犯罪人的供述等主、客观因素进行认定。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行为人将犯罪的人所犯之罪误认为其他犯罪的，不影响刑法第三百一十条第一款规定的“明知”的认定。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行为人虽然实施了提供隐藏处所、财物等行为，但现有证据不能证明行为人知道犯罪的人实施了犯罪行为的，不能认定为刑法第三百一十条第一款规定的“明知”。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 </w:t>
      </w:r>
      <w:r w:rsidRPr="00C55D03">
        <w:rPr>
          <w:rFonts w:ascii="微软雅黑" w:eastAsia="微软雅黑" w:hAnsi="微软雅黑" w:cs="宋体"/>
          <w:b/>
          <w:bCs/>
          <w:sz w:val="22"/>
          <w:szCs w:val="22"/>
        </w:rPr>
        <w:t>第六条</w:t>
      </w:r>
      <w:r w:rsidRPr="00C55D03">
        <w:rPr>
          <w:rFonts w:ascii="微软雅黑" w:eastAsia="微软雅黑" w:hAnsi="微软雅黑" w:cs="宋体"/>
          <w:sz w:val="22"/>
          <w:szCs w:val="22"/>
        </w:rPr>
        <w:t xml:space="preserve">　认定窝藏、包庇罪，以被窝藏、包庇的人的行为构成犯罪为前提。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 被窝藏、包庇的人实施的犯罪事实清楚，证据确实、充分，但尚未到案、尚未依法裁判或者因不具有刑事责任能力依法未予追究刑事责任的，不影响窝藏、包庇罪的认定。但是，被窝藏、包庇的人归案后被宣告无罪的，应当依照法定程序宣告窝藏、包庇行为人无罪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 </w:t>
      </w:r>
      <w:r w:rsidRPr="00C55D03">
        <w:rPr>
          <w:rFonts w:ascii="微软雅黑" w:eastAsia="微软雅黑" w:hAnsi="微软雅黑" w:cs="宋体"/>
          <w:b/>
          <w:bCs/>
          <w:sz w:val="22"/>
          <w:szCs w:val="22"/>
        </w:rPr>
        <w:t>第七条</w:t>
      </w:r>
      <w:r w:rsidRPr="00C55D03">
        <w:rPr>
          <w:rFonts w:ascii="微软雅黑" w:eastAsia="微软雅黑" w:hAnsi="微软雅黑" w:cs="宋体"/>
          <w:sz w:val="22"/>
          <w:szCs w:val="22"/>
        </w:rPr>
        <w:t xml:space="preserve">　为帮助同一个犯罪的人逃避刑事处罚，实施窝藏、包庇行为，又实施洗钱行为，或者掩饰、隐瞒犯罪所得及其收益行为，或者帮助毁灭证据行为，或者伪证行为的，依照处罚较重的犯罪定罪，并从重处罚，不实行数罪并罚。</w:t>
      </w:r>
    </w:p>
    <w:p w:rsidR="00C55D03" w:rsidRPr="00C55D03" w:rsidRDefault="00C55D03" w:rsidP="004909D0">
      <w:pPr>
        <w:spacing w:line="260" w:lineRule="exact"/>
        <w:rPr>
          <w:rFonts w:ascii="微软雅黑" w:eastAsia="微软雅黑" w:hAnsi="微软雅黑" w:cs="宋体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 </w:t>
      </w:r>
      <w:r w:rsidRPr="00C55D03">
        <w:rPr>
          <w:rFonts w:ascii="微软雅黑" w:eastAsia="微软雅黑" w:hAnsi="微软雅黑" w:cs="宋体"/>
          <w:b/>
          <w:bCs/>
          <w:sz w:val="22"/>
          <w:szCs w:val="22"/>
        </w:rPr>
        <w:t>第八条</w:t>
      </w:r>
      <w:r w:rsidRPr="00C55D03">
        <w:rPr>
          <w:rFonts w:ascii="微软雅黑" w:eastAsia="微软雅黑" w:hAnsi="微软雅黑" w:cs="宋体"/>
          <w:sz w:val="22"/>
          <w:szCs w:val="22"/>
        </w:rPr>
        <w:t xml:space="preserve">　共同犯罪人之间互相实施的窝藏、包庇行为，不以窝藏、包庇罪定罪处罚，但对共同犯罪以外的犯罪人实施窝藏、包庇行为的，以所犯共同犯罪和窝藏、包庇罪并罚。</w:t>
      </w:r>
    </w:p>
    <w:p w:rsidR="00712424" w:rsidRPr="00C55D03" w:rsidRDefault="00C55D03" w:rsidP="004909D0">
      <w:pPr>
        <w:spacing w:line="260" w:lineRule="exact"/>
        <w:rPr>
          <w:rFonts w:ascii="微软雅黑" w:eastAsia="微软雅黑" w:hAnsi="微软雅黑" w:cs="宋体" w:hint="eastAsia"/>
          <w:sz w:val="22"/>
          <w:szCs w:val="22"/>
        </w:rPr>
      </w:pPr>
      <w:r w:rsidRPr="00C55D03">
        <w:rPr>
          <w:rFonts w:ascii="微软雅黑" w:eastAsia="微软雅黑" w:hAnsi="微软雅黑" w:cs="宋体"/>
          <w:sz w:val="22"/>
          <w:szCs w:val="22"/>
        </w:rPr>
        <w:t>    </w:t>
      </w:r>
      <w:r w:rsidRPr="00C55D03">
        <w:rPr>
          <w:rFonts w:ascii="微软雅黑" w:eastAsia="微软雅黑" w:hAnsi="微软雅黑" w:cs="宋体"/>
          <w:b/>
          <w:bCs/>
          <w:sz w:val="22"/>
          <w:szCs w:val="22"/>
        </w:rPr>
        <w:t>第九条</w:t>
      </w:r>
      <w:r w:rsidRPr="00C55D03">
        <w:rPr>
          <w:rFonts w:ascii="微软雅黑" w:eastAsia="微软雅黑" w:hAnsi="微软雅黑" w:cs="宋体"/>
          <w:sz w:val="22"/>
          <w:szCs w:val="22"/>
        </w:rPr>
        <w:t xml:space="preserve">　本</w:t>
      </w:r>
      <w:proofErr w:type="gramStart"/>
      <w:r w:rsidRPr="00C55D03">
        <w:rPr>
          <w:rFonts w:ascii="微软雅黑" w:eastAsia="微软雅黑" w:hAnsi="微软雅黑" w:cs="宋体"/>
          <w:sz w:val="22"/>
          <w:szCs w:val="22"/>
        </w:rPr>
        <w:t>解释自</w:t>
      </w:r>
      <w:proofErr w:type="gramEnd"/>
      <w:r w:rsidRPr="00C55D03">
        <w:rPr>
          <w:rFonts w:ascii="微软雅黑" w:eastAsia="微软雅黑" w:hAnsi="微软雅黑" w:cs="宋体"/>
          <w:sz w:val="22"/>
          <w:szCs w:val="22"/>
        </w:rPr>
        <w:t>2021年8月11日起施行。</w:t>
      </w:r>
    </w:p>
    <w:sectPr w:rsidR="00712424" w:rsidRPr="00C55D03" w:rsidSect="00C55D03">
      <w:footerReference w:type="default" r:id="rId8"/>
      <w:pgSz w:w="11906" w:h="16838"/>
      <w:pgMar w:top="720" w:right="720" w:bottom="720" w:left="720" w:header="283" w:footer="283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3E0" w:rsidRDefault="00CE43E0">
      <w:r>
        <w:separator/>
      </w:r>
    </w:p>
  </w:endnote>
  <w:endnote w:type="continuationSeparator" w:id="0">
    <w:p w:rsidR="00CE43E0" w:rsidRDefault="00CE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424" w:rsidRDefault="0071242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3E0" w:rsidRDefault="00CE43E0">
      <w:r>
        <w:separator/>
      </w:r>
    </w:p>
  </w:footnote>
  <w:footnote w:type="continuationSeparator" w:id="0">
    <w:p w:rsidR="00CE43E0" w:rsidRDefault="00CE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C55"/>
    <w:rsid w:val="000051BA"/>
    <w:rsid w:val="00007DC9"/>
    <w:rsid w:val="000218EF"/>
    <w:rsid w:val="00022FF2"/>
    <w:rsid w:val="000246CF"/>
    <w:rsid w:val="00026B55"/>
    <w:rsid w:val="000300E0"/>
    <w:rsid w:val="0004157A"/>
    <w:rsid w:val="00041639"/>
    <w:rsid w:val="00046FD0"/>
    <w:rsid w:val="00060A39"/>
    <w:rsid w:val="00060B3A"/>
    <w:rsid w:val="000658AA"/>
    <w:rsid w:val="00070A8B"/>
    <w:rsid w:val="000720A0"/>
    <w:rsid w:val="00072E51"/>
    <w:rsid w:val="000831A5"/>
    <w:rsid w:val="00092662"/>
    <w:rsid w:val="00093500"/>
    <w:rsid w:val="00094871"/>
    <w:rsid w:val="000A67EC"/>
    <w:rsid w:val="000B1F15"/>
    <w:rsid w:val="000B47FF"/>
    <w:rsid w:val="000C4793"/>
    <w:rsid w:val="000D7352"/>
    <w:rsid w:val="000E4EE9"/>
    <w:rsid w:val="000E5187"/>
    <w:rsid w:val="000E56CF"/>
    <w:rsid w:val="000E6D88"/>
    <w:rsid w:val="000F150B"/>
    <w:rsid w:val="000F2196"/>
    <w:rsid w:val="000F2D91"/>
    <w:rsid w:val="00105EA6"/>
    <w:rsid w:val="001066EE"/>
    <w:rsid w:val="00106D59"/>
    <w:rsid w:val="00120379"/>
    <w:rsid w:val="001211C7"/>
    <w:rsid w:val="00125415"/>
    <w:rsid w:val="00133F36"/>
    <w:rsid w:val="00135979"/>
    <w:rsid w:val="00141FB6"/>
    <w:rsid w:val="00156266"/>
    <w:rsid w:val="001614DD"/>
    <w:rsid w:val="001617A2"/>
    <w:rsid w:val="00162880"/>
    <w:rsid w:val="0016489F"/>
    <w:rsid w:val="0016665A"/>
    <w:rsid w:val="00170A71"/>
    <w:rsid w:val="00182BD9"/>
    <w:rsid w:val="001A7520"/>
    <w:rsid w:val="001B131A"/>
    <w:rsid w:val="001B153F"/>
    <w:rsid w:val="001B6523"/>
    <w:rsid w:val="001D4E14"/>
    <w:rsid w:val="001D5662"/>
    <w:rsid w:val="001E1AB1"/>
    <w:rsid w:val="001F6C7B"/>
    <w:rsid w:val="002064F7"/>
    <w:rsid w:val="00206B2B"/>
    <w:rsid w:val="0021638E"/>
    <w:rsid w:val="002216B9"/>
    <w:rsid w:val="0023259F"/>
    <w:rsid w:val="00233F94"/>
    <w:rsid w:val="00235183"/>
    <w:rsid w:val="00241E35"/>
    <w:rsid w:val="002428F9"/>
    <w:rsid w:val="0025742F"/>
    <w:rsid w:val="00260C98"/>
    <w:rsid w:val="002671B1"/>
    <w:rsid w:val="00271C80"/>
    <w:rsid w:val="00277543"/>
    <w:rsid w:val="00281EEF"/>
    <w:rsid w:val="0028710F"/>
    <w:rsid w:val="002A0E27"/>
    <w:rsid w:val="002A0E47"/>
    <w:rsid w:val="002A1765"/>
    <w:rsid w:val="002A1BB0"/>
    <w:rsid w:val="002A7E25"/>
    <w:rsid w:val="002B5E8C"/>
    <w:rsid w:val="002C11D2"/>
    <w:rsid w:val="002D6C55"/>
    <w:rsid w:val="002E52C2"/>
    <w:rsid w:val="002E71C4"/>
    <w:rsid w:val="00311EB0"/>
    <w:rsid w:val="00313AEE"/>
    <w:rsid w:val="0031621E"/>
    <w:rsid w:val="00327650"/>
    <w:rsid w:val="00334544"/>
    <w:rsid w:val="003370AB"/>
    <w:rsid w:val="00337E4D"/>
    <w:rsid w:val="003407E4"/>
    <w:rsid w:val="00340D0A"/>
    <w:rsid w:val="00342C41"/>
    <w:rsid w:val="00344576"/>
    <w:rsid w:val="00356973"/>
    <w:rsid w:val="00356AAC"/>
    <w:rsid w:val="00357579"/>
    <w:rsid w:val="00357968"/>
    <w:rsid w:val="0036275A"/>
    <w:rsid w:val="00374592"/>
    <w:rsid w:val="00384827"/>
    <w:rsid w:val="003854B1"/>
    <w:rsid w:val="003871CA"/>
    <w:rsid w:val="003902DE"/>
    <w:rsid w:val="00390825"/>
    <w:rsid w:val="00394561"/>
    <w:rsid w:val="00395336"/>
    <w:rsid w:val="003B50D6"/>
    <w:rsid w:val="003C0536"/>
    <w:rsid w:val="003D7E4C"/>
    <w:rsid w:val="003E737D"/>
    <w:rsid w:val="003F534F"/>
    <w:rsid w:val="003F661F"/>
    <w:rsid w:val="00403942"/>
    <w:rsid w:val="00422EA0"/>
    <w:rsid w:val="00424C9C"/>
    <w:rsid w:val="00431DB2"/>
    <w:rsid w:val="00432CA7"/>
    <w:rsid w:val="004358E6"/>
    <w:rsid w:val="00440B14"/>
    <w:rsid w:val="00447D9F"/>
    <w:rsid w:val="00454D12"/>
    <w:rsid w:val="00463561"/>
    <w:rsid w:val="004724D5"/>
    <w:rsid w:val="00473BA4"/>
    <w:rsid w:val="004745A3"/>
    <w:rsid w:val="0048272B"/>
    <w:rsid w:val="004909D0"/>
    <w:rsid w:val="00493ABE"/>
    <w:rsid w:val="004A69A0"/>
    <w:rsid w:val="004B0465"/>
    <w:rsid w:val="004B1A57"/>
    <w:rsid w:val="004B2619"/>
    <w:rsid w:val="004B7D8C"/>
    <w:rsid w:val="004C1EAA"/>
    <w:rsid w:val="004C4DF7"/>
    <w:rsid w:val="004C569C"/>
    <w:rsid w:val="004F5158"/>
    <w:rsid w:val="004F569D"/>
    <w:rsid w:val="00506C84"/>
    <w:rsid w:val="005142A1"/>
    <w:rsid w:val="00517CAB"/>
    <w:rsid w:val="00536EBF"/>
    <w:rsid w:val="0053713F"/>
    <w:rsid w:val="005433C2"/>
    <w:rsid w:val="005502F2"/>
    <w:rsid w:val="00562083"/>
    <w:rsid w:val="0057423C"/>
    <w:rsid w:val="00576485"/>
    <w:rsid w:val="0058350A"/>
    <w:rsid w:val="00586344"/>
    <w:rsid w:val="00594376"/>
    <w:rsid w:val="005A56F6"/>
    <w:rsid w:val="005A6C12"/>
    <w:rsid w:val="005C1972"/>
    <w:rsid w:val="005D3469"/>
    <w:rsid w:val="005E2A4A"/>
    <w:rsid w:val="005E48B7"/>
    <w:rsid w:val="005F1B3D"/>
    <w:rsid w:val="00602816"/>
    <w:rsid w:val="00604ACB"/>
    <w:rsid w:val="00606C5B"/>
    <w:rsid w:val="00612F03"/>
    <w:rsid w:val="006171AA"/>
    <w:rsid w:val="006178C3"/>
    <w:rsid w:val="00621BAF"/>
    <w:rsid w:val="0062410E"/>
    <w:rsid w:val="00626CE8"/>
    <w:rsid w:val="00661621"/>
    <w:rsid w:val="006711F4"/>
    <w:rsid w:val="0068140B"/>
    <w:rsid w:val="00685825"/>
    <w:rsid w:val="0069347C"/>
    <w:rsid w:val="006B086F"/>
    <w:rsid w:val="006E1FF4"/>
    <w:rsid w:val="006E7630"/>
    <w:rsid w:val="006F0A7E"/>
    <w:rsid w:val="006F6FC3"/>
    <w:rsid w:val="006F7D77"/>
    <w:rsid w:val="00712424"/>
    <w:rsid w:val="00715180"/>
    <w:rsid w:val="00720A73"/>
    <w:rsid w:val="00720CAF"/>
    <w:rsid w:val="00722ED9"/>
    <w:rsid w:val="00724377"/>
    <w:rsid w:val="007276B4"/>
    <w:rsid w:val="00733E0F"/>
    <w:rsid w:val="00745D25"/>
    <w:rsid w:val="007506EE"/>
    <w:rsid w:val="0075447F"/>
    <w:rsid w:val="00754A2D"/>
    <w:rsid w:val="007643CE"/>
    <w:rsid w:val="00766157"/>
    <w:rsid w:val="00767F68"/>
    <w:rsid w:val="00771E84"/>
    <w:rsid w:val="0077490A"/>
    <w:rsid w:val="007775EF"/>
    <w:rsid w:val="007A51E0"/>
    <w:rsid w:val="007A6544"/>
    <w:rsid w:val="007A7FD3"/>
    <w:rsid w:val="007B2410"/>
    <w:rsid w:val="007C01D1"/>
    <w:rsid w:val="007C5705"/>
    <w:rsid w:val="007D13B8"/>
    <w:rsid w:val="007D77CE"/>
    <w:rsid w:val="007E3C61"/>
    <w:rsid w:val="007E4D3C"/>
    <w:rsid w:val="00802CDC"/>
    <w:rsid w:val="00805E1D"/>
    <w:rsid w:val="00813FEC"/>
    <w:rsid w:val="00814E29"/>
    <w:rsid w:val="00823C1E"/>
    <w:rsid w:val="00826D77"/>
    <w:rsid w:val="0083338D"/>
    <w:rsid w:val="00855D5E"/>
    <w:rsid w:val="00857DBC"/>
    <w:rsid w:val="008701AB"/>
    <w:rsid w:val="0087139A"/>
    <w:rsid w:val="00877798"/>
    <w:rsid w:val="008802DB"/>
    <w:rsid w:val="00881967"/>
    <w:rsid w:val="00884D26"/>
    <w:rsid w:val="00885F48"/>
    <w:rsid w:val="00890F76"/>
    <w:rsid w:val="0089274E"/>
    <w:rsid w:val="0089616A"/>
    <w:rsid w:val="008A08FA"/>
    <w:rsid w:val="008C663E"/>
    <w:rsid w:val="008E70E5"/>
    <w:rsid w:val="008F50DB"/>
    <w:rsid w:val="008F5238"/>
    <w:rsid w:val="008F7723"/>
    <w:rsid w:val="00904BC8"/>
    <w:rsid w:val="00911248"/>
    <w:rsid w:val="00913A4E"/>
    <w:rsid w:val="00925F75"/>
    <w:rsid w:val="00927D41"/>
    <w:rsid w:val="009330D7"/>
    <w:rsid w:val="009621F2"/>
    <w:rsid w:val="00971108"/>
    <w:rsid w:val="0097410F"/>
    <w:rsid w:val="00974280"/>
    <w:rsid w:val="00974393"/>
    <w:rsid w:val="0097704C"/>
    <w:rsid w:val="00986E71"/>
    <w:rsid w:val="00992211"/>
    <w:rsid w:val="009942EB"/>
    <w:rsid w:val="009A1862"/>
    <w:rsid w:val="009A78E1"/>
    <w:rsid w:val="009A7FCF"/>
    <w:rsid w:val="009B548C"/>
    <w:rsid w:val="009C6F84"/>
    <w:rsid w:val="009D179F"/>
    <w:rsid w:val="009D18B6"/>
    <w:rsid w:val="009E6F62"/>
    <w:rsid w:val="009E7F86"/>
    <w:rsid w:val="009F1030"/>
    <w:rsid w:val="009F1B6D"/>
    <w:rsid w:val="00A02039"/>
    <w:rsid w:val="00A04BD7"/>
    <w:rsid w:val="00A20EDD"/>
    <w:rsid w:val="00A212C7"/>
    <w:rsid w:val="00A23406"/>
    <w:rsid w:val="00A27EDD"/>
    <w:rsid w:val="00A35D41"/>
    <w:rsid w:val="00A40953"/>
    <w:rsid w:val="00A42C49"/>
    <w:rsid w:val="00A459E3"/>
    <w:rsid w:val="00A571FE"/>
    <w:rsid w:val="00A636AF"/>
    <w:rsid w:val="00A65AA4"/>
    <w:rsid w:val="00A773EC"/>
    <w:rsid w:val="00AA03DB"/>
    <w:rsid w:val="00AA164E"/>
    <w:rsid w:val="00AA3B2D"/>
    <w:rsid w:val="00AA7268"/>
    <w:rsid w:val="00AB0D6D"/>
    <w:rsid w:val="00AB68DD"/>
    <w:rsid w:val="00AC2B0B"/>
    <w:rsid w:val="00AD35D8"/>
    <w:rsid w:val="00AD6BB8"/>
    <w:rsid w:val="00AF6D19"/>
    <w:rsid w:val="00B018B8"/>
    <w:rsid w:val="00B1436F"/>
    <w:rsid w:val="00B17FDC"/>
    <w:rsid w:val="00B22148"/>
    <w:rsid w:val="00B25C4D"/>
    <w:rsid w:val="00B32A99"/>
    <w:rsid w:val="00B364E6"/>
    <w:rsid w:val="00B47F03"/>
    <w:rsid w:val="00B62010"/>
    <w:rsid w:val="00B6417D"/>
    <w:rsid w:val="00B712AC"/>
    <w:rsid w:val="00B82084"/>
    <w:rsid w:val="00B95E1A"/>
    <w:rsid w:val="00BB4808"/>
    <w:rsid w:val="00BD62E5"/>
    <w:rsid w:val="00BD715F"/>
    <w:rsid w:val="00BD7A11"/>
    <w:rsid w:val="00BE0134"/>
    <w:rsid w:val="00BE421E"/>
    <w:rsid w:val="00BE428E"/>
    <w:rsid w:val="00BE6A42"/>
    <w:rsid w:val="00BF009A"/>
    <w:rsid w:val="00BF2167"/>
    <w:rsid w:val="00BF4E21"/>
    <w:rsid w:val="00BF6AB5"/>
    <w:rsid w:val="00C03182"/>
    <w:rsid w:val="00C10C97"/>
    <w:rsid w:val="00C4182D"/>
    <w:rsid w:val="00C41CE2"/>
    <w:rsid w:val="00C452E4"/>
    <w:rsid w:val="00C473DF"/>
    <w:rsid w:val="00C532CE"/>
    <w:rsid w:val="00C53D36"/>
    <w:rsid w:val="00C55D03"/>
    <w:rsid w:val="00C57E0D"/>
    <w:rsid w:val="00C636EE"/>
    <w:rsid w:val="00C7181C"/>
    <w:rsid w:val="00C73C73"/>
    <w:rsid w:val="00C748B2"/>
    <w:rsid w:val="00C75F27"/>
    <w:rsid w:val="00C76A21"/>
    <w:rsid w:val="00C85BE4"/>
    <w:rsid w:val="00CA3B61"/>
    <w:rsid w:val="00CB05CD"/>
    <w:rsid w:val="00CB268F"/>
    <w:rsid w:val="00CB69A2"/>
    <w:rsid w:val="00CD046D"/>
    <w:rsid w:val="00CD15F8"/>
    <w:rsid w:val="00CD207F"/>
    <w:rsid w:val="00CE43E0"/>
    <w:rsid w:val="00CF0128"/>
    <w:rsid w:val="00CF0812"/>
    <w:rsid w:val="00CF245A"/>
    <w:rsid w:val="00CF41FE"/>
    <w:rsid w:val="00CF4321"/>
    <w:rsid w:val="00CF5E94"/>
    <w:rsid w:val="00CF7BE1"/>
    <w:rsid w:val="00D0443A"/>
    <w:rsid w:val="00D07F94"/>
    <w:rsid w:val="00D16B69"/>
    <w:rsid w:val="00D21DEB"/>
    <w:rsid w:val="00D3514F"/>
    <w:rsid w:val="00D5052C"/>
    <w:rsid w:val="00D6266A"/>
    <w:rsid w:val="00D91F48"/>
    <w:rsid w:val="00D97443"/>
    <w:rsid w:val="00DA0CA4"/>
    <w:rsid w:val="00DA3276"/>
    <w:rsid w:val="00DB1764"/>
    <w:rsid w:val="00DB2440"/>
    <w:rsid w:val="00DB3C8A"/>
    <w:rsid w:val="00DB5F18"/>
    <w:rsid w:val="00DC5F89"/>
    <w:rsid w:val="00DD0C51"/>
    <w:rsid w:val="00DD7AE6"/>
    <w:rsid w:val="00DE2F11"/>
    <w:rsid w:val="00E01AAD"/>
    <w:rsid w:val="00E06E17"/>
    <w:rsid w:val="00E11578"/>
    <w:rsid w:val="00E2376E"/>
    <w:rsid w:val="00E25C09"/>
    <w:rsid w:val="00E35402"/>
    <w:rsid w:val="00E379EC"/>
    <w:rsid w:val="00E42D97"/>
    <w:rsid w:val="00E42DA2"/>
    <w:rsid w:val="00E47E0D"/>
    <w:rsid w:val="00E526C3"/>
    <w:rsid w:val="00E56A87"/>
    <w:rsid w:val="00E56E52"/>
    <w:rsid w:val="00E715B9"/>
    <w:rsid w:val="00E854B0"/>
    <w:rsid w:val="00E9403C"/>
    <w:rsid w:val="00E956E5"/>
    <w:rsid w:val="00E95DF8"/>
    <w:rsid w:val="00E97496"/>
    <w:rsid w:val="00EB642C"/>
    <w:rsid w:val="00EB67B5"/>
    <w:rsid w:val="00EB6A82"/>
    <w:rsid w:val="00EB79DB"/>
    <w:rsid w:val="00EB7B8D"/>
    <w:rsid w:val="00EE1F86"/>
    <w:rsid w:val="00EE4190"/>
    <w:rsid w:val="00EF3887"/>
    <w:rsid w:val="00F01156"/>
    <w:rsid w:val="00F1058C"/>
    <w:rsid w:val="00F11389"/>
    <w:rsid w:val="00F11CAA"/>
    <w:rsid w:val="00F14865"/>
    <w:rsid w:val="00F3114F"/>
    <w:rsid w:val="00F3147A"/>
    <w:rsid w:val="00F31FF1"/>
    <w:rsid w:val="00F347B6"/>
    <w:rsid w:val="00F37571"/>
    <w:rsid w:val="00F44A15"/>
    <w:rsid w:val="00F46B3C"/>
    <w:rsid w:val="00F4779A"/>
    <w:rsid w:val="00F64D94"/>
    <w:rsid w:val="00F70562"/>
    <w:rsid w:val="00F744B5"/>
    <w:rsid w:val="00F74986"/>
    <w:rsid w:val="00F845F5"/>
    <w:rsid w:val="00F84788"/>
    <w:rsid w:val="00F865EA"/>
    <w:rsid w:val="00F90AF4"/>
    <w:rsid w:val="00F92C7B"/>
    <w:rsid w:val="00FA21BD"/>
    <w:rsid w:val="00FB237A"/>
    <w:rsid w:val="00FB46C7"/>
    <w:rsid w:val="00FC2B5F"/>
    <w:rsid w:val="00FC3C13"/>
    <w:rsid w:val="00FD0009"/>
    <w:rsid w:val="00FD51B5"/>
    <w:rsid w:val="00FF402A"/>
    <w:rsid w:val="00FF690A"/>
    <w:rsid w:val="02ED7FD5"/>
    <w:rsid w:val="17100785"/>
    <w:rsid w:val="3D4B6819"/>
    <w:rsid w:val="57B238A2"/>
    <w:rsid w:val="57E84EE2"/>
    <w:rsid w:val="5951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0D1FD"/>
  <w15:docId w15:val="{3E4C3ED0-9BBB-4B86-9353-6C2212A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</w:style>
  <w:style w:type="paragraph" w:customStyle="1" w:styleId="ParaCharCharCharCharCharCharChar">
    <w:name w:val="默认段落字体 Para Char Char Char Char Char Char Char"/>
    <w:basedOn w:val="a"/>
    <w:qFormat/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0675A3-2D70-4E6E-8ABC-EC74E178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1595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最高人民法院、最高人民检察院关于废止1980年1月1日至1997年6月30日期间制发的部分司法解释和司法解释性质文件的决定》已于2012年11月19日由最高人民法院审判委员会第1560次会议、2012年12月19日由最高人民检察院第十一届检察委员会第83次会议通过，现予公布，自2013年1月18日起施行</dc:title>
  <dc:creator>Lenovo User</dc:creator>
  <cp:lastModifiedBy>Zhanglb</cp:lastModifiedBy>
  <cp:revision>13</cp:revision>
  <cp:lastPrinted>2014-04-03T09:04:00Z</cp:lastPrinted>
  <dcterms:created xsi:type="dcterms:W3CDTF">2021-06-02T09:07:00Z</dcterms:created>
  <dcterms:modified xsi:type="dcterms:W3CDTF">2025-08-27T03:17:00Z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FDD5F2B68E8C4D58B921686892E21553</vt:lpwstr>
  </property>
</Properties>
</file>